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阜康市滋泥泉子镇中心幼儿园建设项目工程款【第三批化债】</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建设项目工程款【第三批化债】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阜康市滋泥泉子镇中心幼儿园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阜康市滋泥泉子镇中心幼儿园</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headerReference r:id="rId5" w:type="default"/>
          <w:footerReference r:id="rId6" w:type="default"/>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阜康市滋泥泉子镇中心幼儿园建设项目工程款【第三批化债】</w:t>
      </w:r>
      <w:r>
        <w:rPr>
          <w:rFonts w:hint="eastAsia" w:cs="宋体"/>
          <w:b/>
          <w:bCs/>
          <w:color w:val="000000" w:themeColor="text1"/>
          <w:sz w:val="36"/>
          <w:szCs w:val="36"/>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bidi w:val="0"/>
        <w:ind w:firstLine="560" w:firstLineChars="200"/>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为了深入贯彻落实区、州、市化解政府债务系列会议精神，有效化解地方政府债务风险，做好防范化解政府债务各项工作，按照化解政府债务整改要求,阜康市滋泥泉子镇中心幼儿园建设项目工程款【第三批化债】项目，被列为化解政府债务工程项目，按时完成了还款协议的签订，并按要求逐年完成政府债务化解工作。2022年计划支付化解债务工程款（包括教学楼、大门、警卫室</w:t>
      </w:r>
      <w:r>
        <w:rPr>
          <w:rFonts w:hint="eastAsia" w:cs="宋体"/>
          <w:color w:val="0000FF"/>
          <w:highlight w:val="none"/>
          <w:shd w:val="clear" w:color="auto" w:fill="auto"/>
          <w:lang w:val="en-US" w:eastAsia="zh-CN"/>
        </w:rPr>
        <w:t>、</w:t>
      </w:r>
      <w:r>
        <w:rPr>
          <w:rFonts w:hint="eastAsia" w:cs="宋体"/>
          <w:color w:val="auto"/>
          <w:highlight w:val="none"/>
          <w:shd w:val="clear" w:color="auto" w:fill="auto"/>
          <w:lang w:val="en-US" w:eastAsia="zh-CN"/>
        </w:rPr>
        <w:t>绿化、地坪等）项目款46.66万元。</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bidi w:val="0"/>
        <w:ind w:firstLine="560" w:firstLineChars="200"/>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阜康市滋泥泉子镇中心幼儿园建设项目于2012年7月6日立项，建设单位为阜康市众邦建设有限公司，项目规模及内容：总投资为546.17万元，全部为农发行贷款、建筑面积1637.3平方米，建设内容包括活动室、警卫室、大门、围墙、绿化景观等。</w:t>
      </w:r>
    </w:p>
    <w:p>
      <w:pPr>
        <w:bidi w:val="0"/>
        <w:ind w:firstLine="560" w:firstLineChars="200"/>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为确保该项目的顺利实施，我单位成立项目实施小组，组长为王艳萍，副组长为马慧，项目负责人为王艳萍，成员为马圆丽、张亚琴、朱园园等3人，其中：马圆丽负责年初项目绩效目标的制定工作及后期项目目标执行的工作；张亚琴负责设备采购项目工作；朱园园负责绩效目标的执行情况的监督工作。</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46.66</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金46.66</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46.66</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46.66</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auto"/>
          <w:highlight w:val="none"/>
          <w:shd w:val="clear" w:color="auto" w:fill="auto"/>
          <w:lang w:val="en-US" w:eastAsia="zh-CN"/>
        </w:rPr>
        <w:t>支付化解债务工程款（包括综合活动室、警卫室、大门、围墙、绿化景观）</w:t>
      </w:r>
      <w:r>
        <w:rPr>
          <w:rFonts w:hint="eastAsia" w:cs="宋体"/>
          <w:color w:val="auto"/>
          <w:highlight w:val="none"/>
          <w:shd w:val="clear" w:color="auto" w:fill="auto"/>
          <w:lang w:val="en-US" w:eastAsia="zh-CN"/>
        </w:rPr>
        <w:t>等方面。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绩效总体目标为：为进一步加强债务管理，完善政府债务化解机制，切实落实债务化解有关规定，实行科学化、精细化管理，加强对化解债务资金分配使用，全面准确掌握债务化解情况，确保偿债资金的安全、规范和有效。2022年计划完成1个项目债务化解工作。</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FF0000"/>
          <w:kern w:val="0"/>
          <w:sz w:val="28"/>
          <w:szCs w:val="32"/>
          <w:highlight w:val="none"/>
          <w:shd w:val="clear" w:color="auto" w:fill="auto"/>
          <w:lang w:val="en-US" w:eastAsia="zh-CN" w:bidi="ar-SA"/>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“化解债务项目数量”指标，预期指标值为1个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“化债项目涉及企业数量”指标，预期指标值为1个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“资金使用合规率”指标，预期指标值为100%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“资金支付及时率”指标，预期指标值为100%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“任务完成时间”指标，预期指标值为2022年7-12月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auto"/>
          <w:highlight w:val="none"/>
          <w:shd w:val="clear" w:color="auto" w:fill="auto"/>
          <w:lang w:val="en-US" w:eastAsia="zh-CN"/>
        </w:rPr>
        <w:t>“化解阜康市滋泥泉子镇中心幼儿园建设项目工程款【第三批化债】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en-US" w:eastAsia="zh-CN"/>
        </w:rPr>
        <w:t>债务成本”指标，预期指标值为≤</w:t>
      </w:r>
      <w:r>
        <w:rPr>
          <w:rFonts w:hint="eastAsia" w:cs="宋体"/>
          <w:color w:val="auto"/>
          <w:highlight w:val="none"/>
          <w:shd w:val="clear" w:color="auto" w:fill="auto"/>
          <w:lang w:val="en-US" w:eastAsia="zh-CN"/>
        </w:rPr>
        <w:t>46.66</w:t>
      </w:r>
      <w:r>
        <w:rPr>
          <w:rFonts w:hint="eastAsia" w:ascii="宋体" w:hAnsi="宋体" w:eastAsia="宋体" w:cs="宋体"/>
          <w:color w:val="auto"/>
          <w:highlight w:val="none"/>
          <w:shd w:val="clear" w:color="auto" w:fill="auto"/>
          <w:lang w:val="en-US" w:eastAsia="zh-CN"/>
        </w:rPr>
        <w:t>万元</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幼儿园教育教学活动和其他日常工作任务正常开展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保障</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“化解单位债务，提升单位和政府形象”指标，</w:t>
      </w:r>
      <w:r>
        <w:rPr>
          <w:rFonts w:hint="eastAsia" w:ascii="宋体" w:hAnsi="宋体" w:eastAsia="宋体" w:cs="宋体"/>
          <w:color w:val="auto"/>
          <w:highlight w:val="none"/>
          <w:shd w:val="clear" w:color="auto" w:fill="auto"/>
          <w:lang w:val="en-US" w:eastAsia="zh-CN"/>
        </w:rPr>
        <w:t>预期指标值为</w:t>
      </w:r>
      <w:r>
        <w:rPr>
          <w:rFonts w:hint="eastAsia" w:cs="宋体"/>
          <w:color w:val="auto"/>
          <w:highlight w:val="none"/>
          <w:shd w:val="clear" w:color="auto" w:fill="auto"/>
          <w:lang w:val="en-US" w:eastAsia="zh-CN"/>
        </w:rPr>
        <w:t>有效提升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完善政府债务化解机制</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指标，预期指标值为长期改善</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受偿企业满意度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lang w:val="en-US" w:eastAsia="zh-CN"/>
        </w:rPr>
      </w:pPr>
      <w:r>
        <w:rPr>
          <w:rFonts w:hint="eastAsia" w:ascii="宋体" w:hAnsi="宋体" w:eastAsia="宋体" w:cs="宋体"/>
          <w:b/>
          <w:bCs/>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5462343"/>
      <w:bookmarkStart w:id="1" w:name="_Toc21664"/>
      <w:bookmarkStart w:id="2" w:name="_Toc22169_WPSOffice_Level2"/>
      <w:bookmarkStart w:id="3" w:name="_Toc12868"/>
      <w:bookmarkStart w:id="4" w:name="_Toc26632"/>
      <w:bookmarkStart w:id="5" w:name="_Toc480473081"/>
      <w:bookmarkStart w:id="6" w:name="_Toc22922"/>
      <w:bookmarkStart w:id="7" w:name="_Toc5258"/>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419984722"/>
      <w:bookmarkStart w:id="9" w:name="_Toc428278230"/>
      <w:bookmarkStart w:id="10" w:name="_Toc1913"/>
      <w:bookmarkStart w:id="11" w:name="_Toc2613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阜康市滋泥泉子镇中心幼儿园建设项目工程款【第三批化债】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0"/>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ascii="宋体" w:hAnsi="宋体" w:eastAsia="宋体" w:cs="宋体"/>
                <w:b/>
                <w:bCs/>
                <w:color w:val="auto"/>
                <w:kern w:val="0"/>
                <w:sz w:val="28"/>
                <w:szCs w:val="28"/>
                <w:highlight w:val="none"/>
                <w:shd w:val="clear" w:color="auto" w:fill="auto"/>
                <w:lang w:val="en-US" w:eastAsia="zh-CN"/>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eastAsia" w:ascii="宋体" w:hAnsi="宋体" w:eastAsia="宋体" w:cs="宋体"/>
                <w:color w:val="auto"/>
                <w:kern w:val="0"/>
                <w:sz w:val="24"/>
                <w:szCs w:val="24"/>
                <w:highlight w:val="none"/>
                <w:shd w:val="clear" w:color="auto" w:fill="auto"/>
              </w:rPr>
            </w:pP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pPr>
            <w:r>
              <w:rPr>
                <w:rFonts w:hint="eastAsia" w:ascii="宋体" w:hAnsi="宋体" w:eastAsia="宋体"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default"/>
          <w:lang w:val="en-US" w:eastAsia="zh-CN"/>
        </w:rPr>
      </w:pPr>
      <w:r>
        <w:rPr>
          <w:rFonts w:hint="eastAsia"/>
          <w:lang w:val="en-US" w:eastAsia="zh-CN"/>
        </w:rPr>
        <w:t>根据阜康市公共资源交易管理办公室审批的</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lang w:val="en-US" w:eastAsia="zh-CN"/>
        </w:rPr>
        <w:t>为了深入贯彻落实化解政府债务系列会议精神，有效化解地方政府债务风险，做好防范化解政府债务各项工作，按照化解政府债务整改要求,第一时间上报全</w:t>
      </w:r>
      <w:r>
        <w:rPr>
          <w:rFonts w:hint="eastAsia"/>
          <w:color w:val="auto"/>
          <w:lang w:val="en-US" w:eastAsia="zh-CN"/>
        </w:rPr>
        <w:t>口径债务监测平台项目，并完成了还款协议的签订。</w:t>
      </w: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val="en-US" w:eastAsia="zh-CN"/>
        </w:rPr>
      </w:pPr>
      <w:r>
        <w:rPr>
          <w:rFonts w:hint="eastAsia"/>
          <w:lang w:val="en-US" w:eastAsia="zh-CN"/>
        </w:rPr>
        <w:t>①根据立项批复完成招投标，并与施工方签订施工合同，施工方办理施工许可证后按照合同约定进行施工建设。该项得1分。②如期完成施工</w:t>
      </w:r>
      <w:r>
        <w:rPr>
          <w:rFonts w:hint="eastAsia"/>
          <w:color w:val="auto"/>
          <w:lang w:val="en-US" w:eastAsia="zh-CN"/>
        </w:rPr>
        <w:t>后，学校验收合格并投入使用，完成项目审计决算，按照决算价计划还款。该项得1分。③事前经过邀请第三方进行可行性研究、专家论证、绩效评估、集体决策事宜，由阜康市环保局对项目进行环境风险评估报告。</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lang w:eastAsia="zh-CN"/>
        </w:rPr>
        <w:t>根据单位项目实际设立有项目绩效目标并及时编制目标表，绩效目标与预算确定的项目预算数或实施过程中的执行数相匹配，项目预期产出效益和效果符</w:t>
      </w:r>
      <w:r>
        <w:rPr>
          <w:rFonts w:hint="eastAsia"/>
          <w:color w:val="auto"/>
          <w:lang w:eastAsia="zh-CN"/>
        </w:rPr>
        <w:t>合正常的业绩水平。</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根据目标表可得该项目将绩效目标细化分解为具体的绩效指标，指标数共计</w:t>
      </w:r>
      <w:r>
        <w:rPr>
          <w:rFonts w:hint="eastAsia"/>
          <w:color w:val="auto"/>
          <w:lang w:val="en-US" w:eastAsia="zh-CN"/>
        </w:rPr>
        <w:t>10</w:t>
      </w:r>
      <w:r>
        <w:rPr>
          <w:rFonts w:hint="eastAsia"/>
          <w:color w:val="auto"/>
          <w:lang w:eastAsia="zh-CN"/>
        </w:rPr>
        <w:t>个，其中产出指标</w:t>
      </w:r>
      <w:r>
        <w:rPr>
          <w:rFonts w:hint="eastAsia"/>
          <w:color w:val="auto"/>
          <w:lang w:val="en-US" w:eastAsia="zh-CN"/>
        </w:rPr>
        <w:t>6</w:t>
      </w:r>
      <w:r>
        <w:rPr>
          <w:rFonts w:hint="eastAsia"/>
          <w:color w:val="auto"/>
          <w:lang w:eastAsia="zh-CN"/>
        </w:rPr>
        <w:t>个，效益指标</w:t>
      </w:r>
      <w:r>
        <w:rPr>
          <w:rFonts w:hint="eastAsia"/>
          <w:color w:val="auto"/>
          <w:lang w:val="en-US" w:eastAsia="zh-CN"/>
        </w:rPr>
        <w:t>3</w:t>
      </w:r>
      <w:r>
        <w:rPr>
          <w:rFonts w:hint="eastAsia"/>
          <w:color w:val="auto"/>
          <w:lang w:eastAsia="zh-CN"/>
        </w:rPr>
        <w:t>个，满意度指标</w:t>
      </w:r>
      <w:r>
        <w:rPr>
          <w:rFonts w:hint="eastAsia"/>
          <w:color w:val="auto"/>
          <w:lang w:val="en-US" w:eastAsia="zh-CN"/>
        </w:rPr>
        <w:t>1</w:t>
      </w:r>
      <w:r>
        <w:rPr>
          <w:rFonts w:hint="eastAsia"/>
          <w:color w:val="auto"/>
          <w:lang w:eastAsia="zh-CN"/>
        </w:rPr>
        <w:t>个；立指标与项目目标计划数相对应。</w:t>
      </w:r>
    </w:p>
    <w:p>
      <w:pPr>
        <w:bidi w:val="0"/>
        <w:ind w:left="0" w:leftChars="0" w:firstLine="562" w:firstLineChars="20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lang w:val="en-US" w:eastAsia="zh-CN"/>
        </w:rPr>
        <w:t>①预算编制、预算内容与项目内容匹配，该项得1分；②预算额度测</w:t>
      </w:r>
      <w:r>
        <w:rPr>
          <w:rFonts w:hint="eastAsia"/>
          <w:color w:val="auto"/>
          <w:lang w:val="en-US" w:eastAsia="zh-CN"/>
        </w:rPr>
        <w:t>算依据充分，按照标准编制，绩效目标与预算确定的项目预算数或实施过程中的执行数相匹配，该项得1分。</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val="en-US" w:eastAsia="zh-CN"/>
        </w:rPr>
      </w:pPr>
      <w:r>
        <w:rPr>
          <w:rFonts w:hint="eastAsia"/>
          <w:lang w:val="en-US" w:eastAsia="zh-CN"/>
        </w:rPr>
        <w:t>①预算资金分配依据充分该项得1.5分；②资金分配额度是合理，阜康市财政局分配资金结合市内学校实际情况，与之相适应，该项得1.5分。</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pPr>
        <w:bidi w:val="0"/>
        <w:rPr>
          <w:rFonts w:hint="eastAsia"/>
          <w:b/>
          <w:bCs/>
          <w:color w:val="auto"/>
          <w:lang w:val="en-US" w:eastAsia="zh-CN"/>
        </w:rPr>
      </w:pPr>
      <w:r>
        <w:rPr>
          <w:rFonts w:hint="eastAsia"/>
          <w:b/>
          <w:bCs/>
          <w:color w:val="auto"/>
          <w:lang w:val="en-US" w:eastAsia="zh-CN"/>
        </w:rPr>
        <w:t>1.资金到位率</w:t>
      </w:r>
    </w:p>
    <w:p>
      <w:pPr>
        <w:bidi w:val="0"/>
        <w:rPr>
          <w:rFonts w:hint="eastAsia"/>
          <w:color w:val="auto"/>
          <w:lang w:val="en-US" w:eastAsia="zh-CN"/>
        </w:rPr>
      </w:pPr>
      <w:r>
        <w:rPr>
          <w:rFonts w:hint="eastAsia"/>
          <w:color w:val="auto"/>
          <w:lang w:eastAsia="zh-CN"/>
        </w:rPr>
        <w:t>资金到位率</w:t>
      </w:r>
      <w:r>
        <w:rPr>
          <w:rFonts w:hint="eastAsia"/>
          <w:color w:val="auto"/>
          <w:lang w:val="en-US" w:eastAsia="zh-CN"/>
        </w:rPr>
        <w:t>=46.66万元/46.66万元*100%=100%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lang w:val="en-US" w:eastAsia="zh-CN"/>
        </w:rPr>
        <w:t>2.预算执行率</w:t>
      </w:r>
    </w:p>
    <w:p>
      <w:pPr>
        <w:bidi w:val="0"/>
        <w:rPr>
          <w:rFonts w:hint="eastAsia"/>
          <w:color w:val="auto"/>
          <w:lang w:eastAsia="zh-CN"/>
        </w:rPr>
      </w:pPr>
      <w:r>
        <w:rPr>
          <w:rFonts w:hint="eastAsia"/>
          <w:color w:val="auto"/>
          <w:lang w:eastAsia="zh-CN"/>
        </w:rPr>
        <w:t>预算执行率=100%。</w:t>
      </w: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lang w:eastAsia="zh-CN"/>
        </w:rPr>
      </w:pPr>
      <w:r>
        <w:rPr>
          <w:rFonts w:hint="eastAsia"/>
          <w:color w:val="auto"/>
          <w:lang w:eastAsia="zh-CN"/>
        </w:rPr>
        <w:t>①资金使用符合国家财经法规和阜康市</w:t>
      </w:r>
      <w:r>
        <w:rPr>
          <w:rFonts w:hint="eastAsia"/>
          <w:color w:val="auto"/>
          <w:lang w:val="en-US" w:eastAsia="zh-CN"/>
        </w:rPr>
        <w:t>幼</w:t>
      </w:r>
      <w:r>
        <w:rPr>
          <w:rFonts w:hint="eastAsia"/>
          <w:lang w:val="en-US" w:eastAsia="zh-CN"/>
        </w:rPr>
        <w:t>儿园</w:t>
      </w:r>
      <w:r>
        <w:rPr>
          <w:rFonts w:hint="eastAsia"/>
          <w:lang w:eastAsia="zh-CN"/>
        </w:rPr>
        <w:t>的预算管理制度、资产管理制度和政府采购管理制度，该项得</w:t>
      </w:r>
      <w:r>
        <w:rPr>
          <w:rFonts w:hint="eastAsia"/>
          <w:lang w:val="en-US" w:eastAsia="zh-CN"/>
        </w:rPr>
        <w:t>1</w:t>
      </w:r>
      <w:r>
        <w:rPr>
          <w:rFonts w:hint="eastAsia"/>
          <w:lang w:eastAsia="zh-CN"/>
        </w:rPr>
        <w:t>分；②资金的拨付有完整的审批程序和手续，该项得</w:t>
      </w:r>
      <w:r>
        <w:rPr>
          <w:rFonts w:hint="eastAsia"/>
          <w:lang w:val="en-US" w:eastAsia="zh-CN"/>
        </w:rPr>
        <w:t>1</w:t>
      </w:r>
      <w:r>
        <w:rPr>
          <w:rFonts w:hint="eastAsia"/>
          <w:lang w:eastAsia="zh-CN"/>
        </w:rPr>
        <w:t>分；③资金使用符合合同规定的用途，该项得1分。④资金使用不存在截留、挤占、挪用、虚列支出等情况，该项得</w:t>
      </w:r>
      <w:r>
        <w:rPr>
          <w:rFonts w:hint="eastAsia"/>
          <w:lang w:val="en-US" w:eastAsia="zh-CN"/>
        </w:rPr>
        <w:t>1</w:t>
      </w:r>
      <w:r>
        <w:rPr>
          <w:rFonts w:hint="eastAsia"/>
          <w:lang w:eastAsia="zh-CN"/>
        </w:rPr>
        <w:t>分。</w:t>
      </w:r>
    </w:p>
    <w:p>
      <w:pPr>
        <w:bidi w:val="0"/>
        <w:rPr>
          <w:rFonts w:hint="eastAsia"/>
          <w:color w:val="auto"/>
          <w:lang w:eastAsia="zh-CN"/>
        </w:rPr>
      </w:pPr>
      <w:r>
        <w:rPr>
          <w:rFonts w:hint="eastAsia"/>
          <w:b/>
          <w:bCs/>
          <w:lang w:val="en-US" w:eastAsia="zh-CN"/>
        </w:rPr>
        <w:t>综上</w:t>
      </w:r>
      <w:r>
        <w:rPr>
          <w:rFonts w:hint="eastAsia"/>
          <w:b/>
          <w:bCs/>
          <w:color w:val="auto"/>
          <w:lang w:val="en-US" w:eastAsia="zh-CN"/>
        </w:rPr>
        <w:t>，该项指标满分4分，得分4分。</w:t>
      </w:r>
    </w:p>
    <w:p>
      <w:pPr>
        <w:bidi w:val="0"/>
        <w:rPr>
          <w:rFonts w:hint="eastAsia"/>
          <w:b/>
          <w:bCs/>
          <w:color w:val="auto"/>
          <w:lang w:val="en-US" w:eastAsia="zh-CN"/>
        </w:rPr>
      </w:pPr>
      <w:r>
        <w:rPr>
          <w:rFonts w:hint="eastAsia"/>
          <w:b/>
          <w:bCs/>
          <w:color w:val="auto"/>
          <w:lang w:val="en-US" w:eastAsia="zh-CN"/>
        </w:rPr>
        <w:t>4.管理制度健全性</w:t>
      </w:r>
    </w:p>
    <w:p>
      <w:pPr>
        <w:bidi w:val="0"/>
        <w:rPr>
          <w:rFonts w:hint="eastAsia"/>
          <w:lang w:val="en-US" w:eastAsia="zh-CN"/>
        </w:rPr>
      </w:pPr>
      <w:r>
        <w:rPr>
          <w:rFonts w:hint="default"/>
          <w:color w:val="auto"/>
          <w:lang w:eastAsia="zh-CN"/>
        </w:rPr>
        <w:t>①</w:t>
      </w:r>
      <w:r>
        <w:rPr>
          <w:rFonts w:hint="eastAsia" w:ascii="宋体" w:hAnsi="宋体" w:eastAsia="宋体" w:cs="宋体"/>
          <w:color w:val="auto"/>
          <w:highlight w:val="none"/>
          <w:shd w:val="clear" w:color="auto" w:fill="auto"/>
          <w:lang w:val="en-US" w:eastAsia="zh-CN"/>
        </w:rPr>
        <w:t>阜康市滋泥泉子镇中心幼儿园建设项目工程款【第三批化债】</w:t>
      </w:r>
      <w:r>
        <w:rPr>
          <w:rFonts w:hint="eastAsia" w:cs="宋体"/>
          <w:color w:val="auto"/>
          <w:highlight w:val="none"/>
          <w:shd w:val="clear" w:color="auto" w:fill="auto"/>
          <w:lang w:val="en-US" w:eastAsia="zh-CN"/>
        </w:rPr>
        <w:t>项目</w:t>
      </w:r>
      <w:r>
        <w:rPr>
          <w:rFonts w:hint="eastAsia"/>
          <w:color w:val="auto"/>
          <w:lang w:eastAsia="zh-CN"/>
        </w:rPr>
        <w:t>依据</w:t>
      </w:r>
      <w:r>
        <w:rPr>
          <w:rFonts w:hint="default"/>
          <w:color w:val="auto"/>
          <w:lang w:eastAsia="zh-CN"/>
        </w:rPr>
        <w:t>相应的财务和业务管理制度</w:t>
      </w:r>
      <w:r>
        <w:rPr>
          <w:rFonts w:hint="eastAsia"/>
          <w:color w:val="auto"/>
          <w:lang w:eastAsia="zh-CN"/>
        </w:rPr>
        <w:t>进行实施，</w:t>
      </w:r>
      <w:r>
        <w:rPr>
          <w:rFonts w:hint="eastAsia"/>
          <w:color w:val="auto"/>
          <w:lang w:val="en-US" w:eastAsia="zh-CN"/>
        </w:rPr>
        <w:t>包括合同管理制度、收入和支出管理制度、建设项目管理制度等，该项得2分</w:t>
      </w:r>
      <w:r>
        <w:rPr>
          <w:rFonts w:hint="default"/>
          <w:color w:val="auto"/>
          <w:lang w:eastAsia="zh-CN"/>
        </w:rPr>
        <w:t>；②</w:t>
      </w:r>
      <w:r>
        <w:rPr>
          <w:rFonts w:hint="default"/>
          <w:lang w:eastAsia="zh-CN"/>
        </w:rPr>
        <w:t>财务和业务管理制度合法、合规、完整</w:t>
      </w:r>
      <w:r>
        <w:rPr>
          <w:rFonts w:hint="eastAsia"/>
          <w:lang w:eastAsia="zh-CN"/>
        </w:rPr>
        <w:t>，</w:t>
      </w:r>
      <w:r>
        <w:rPr>
          <w:rFonts w:hint="eastAsia"/>
          <w:lang w:val="en-US" w:eastAsia="zh-CN"/>
        </w:rPr>
        <w:t>该项得2分。</w:t>
      </w:r>
    </w:p>
    <w:p>
      <w:pPr>
        <w:bidi w:val="0"/>
        <w:ind w:left="0" w:leftChars="0" w:firstLine="562" w:firstLineChars="200"/>
        <w:rPr>
          <w:rFonts w:hint="eastAsia"/>
          <w:color w:val="auto"/>
          <w:lang w:eastAsia="zh-CN"/>
        </w:rPr>
      </w:pPr>
      <w:r>
        <w:rPr>
          <w:rFonts w:hint="eastAsia"/>
          <w:b/>
          <w:bCs/>
          <w:lang w:val="en-US" w:eastAsia="zh-CN"/>
        </w:rPr>
        <w:t>综上，该项</w:t>
      </w:r>
      <w:r>
        <w:rPr>
          <w:rFonts w:hint="eastAsia"/>
          <w:b/>
          <w:bCs/>
          <w:color w:val="auto"/>
          <w:lang w:val="en-US" w:eastAsia="zh-CN"/>
        </w:rPr>
        <w:t>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color w:val="auto"/>
          <w:lang w:val="en-US" w:eastAsia="zh-CN"/>
        </w:rPr>
      </w:pPr>
      <w:r>
        <w:rPr>
          <w:rFonts w:hint="eastAsia"/>
          <w:color w:val="auto"/>
          <w:lang w:val="en-US" w:eastAsia="zh-CN"/>
        </w:rPr>
        <w:t>①制度执行遵守相关法律法规和相关管理规定，该项得1分；②该项目无支出调整情况，该项得1分</w:t>
      </w:r>
      <w:r>
        <w:rPr>
          <w:rFonts w:hint="eastAsia"/>
          <w:lang w:val="en-US" w:eastAsia="zh-CN"/>
        </w:rPr>
        <w:t>；③项目合同书、申请报告等资料齐全并及时归档，该项得1分；④项目实施的人员条件、信息支撑等落实到位，于2016</w:t>
      </w:r>
      <w:r>
        <w:rPr>
          <w:rFonts w:hint="eastAsia"/>
          <w:color w:val="auto"/>
          <w:lang w:val="en-US" w:eastAsia="zh-CN"/>
        </w:rPr>
        <w:t>年完成招投标，该项得1分。</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6</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化债项目涉及企业数量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2022年7-12月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2022年7-12月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化解建设项目工程款【第三批化债】项目债务成本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w:t>
            </w:r>
            <w:r>
              <w:rPr>
                <w:rFonts w:hint="eastAsia" w:cs="宋体"/>
                <w:i w:val="0"/>
                <w:color w:val="auto"/>
                <w:kern w:val="0"/>
                <w:sz w:val="20"/>
                <w:szCs w:val="20"/>
                <w:u w:val="none"/>
                <w:lang w:val="en-US" w:eastAsia="zh-CN" w:bidi="ar"/>
              </w:rPr>
              <w:t>46.66</w:t>
            </w:r>
            <w:r>
              <w:rPr>
                <w:rFonts w:hint="eastAsia" w:ascii="宋体" w:hAnsi="宋体" w:eastAsia="宋体" w:cs="宋体"/>
                <w:i w:val="0"/>
                <w:color w:val="auto"/>
                <w:kern w:val="0"/>
                <w:sz w:val="20"/>
                <w:szCs w:val="20"/>
                <w:u w:val="none"/>
                <w:lang w:val="en-US" w:eastAsia="zh-CN" w:bidi="ar"/>
              </w:rPr>
              <w:t>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w:t>
            </w:r>
            <w:r>
              <w:rPr>
                <w:rFonts w:hint="eastAsia" w:cs="宋体"/>
                <w:i w:val="0"/>
                <w:color w:val="auto"/>
                <w:kern w:val="0"/>
                <w:sz w:val="20"/>
                <w:szCs w:val="20"/>
                <w:u w:val="none"/>
                <w:lang w:val="en-US" w:eastAsia="zh-CN" w:bidi="ar"/>
              </w:rPr>
              <w:t>46.66</w:t>
            </w:r>
            <w:r>
              <w:rPr>
                <w:rFonts w:hint="eastAsia" w:ascii="宋体" w:hAnsi="宋体" w:eastAsia="宋体" w:cs="宋体"/>
                <w:i w:val="0"/>
                <w:color w:val="auto"/>
                <w:kern w:val="0"/>
                <w:sz w:val="20"/>
                <w:szCs w:val="20"/>
                <w:u w:val="none"/>
                <w:lang w:val="en-US" w:eastAsia="zh-CN" w:bidi="ar"/>
              </w:rPr>
              <w:t>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FF0000"/>
          <w:lang w:val="en-US" w:eastAsia="zh-CN"/>
        </w:rPr>
      </w:pPr>
      <w:r>
        <w:rPr>
          <w:rFonts w:hint="eastAsia"/>
          <w:b/>
          <w:bCs/>
          <w:color w:val="auto"/>
          <w:lang w:val="en-US" w:eastAsia="zh-CN"/>
        </w:rPr>
        <w:t>1.项目完成数量</w:t>
      </w:r>
    </w:p>
    <w:p>
      <w:pPr>
        <w:bidi w:val="0"/>
        <w:rPr>
          <w:rFonts w:hint="eastAsia"/>
          <w:lang w:val="en-US" w:eastAsia="zh-CN"/>
        </w:rPr>
      </w:pPr>
      <w:r>
        <w:rPr>
          <w:rFonts w:hint="eastAsia"/>
          <w:lang w:val="en-US" w:eastAsia="zh-CN"/>
        </w:rPr>
        <w:t>“化解债务项目数量”指标，预期指标值为1个，实际完成为1个。实际完成率100%。</w:t>
      </w:r>
    </w:p>
    <w:p>
      <w:pPr>
        <w:bidi w:val="0"/>
        <w:rPr>
          <w:rFonts w:hint="default"/>
          <w:color w:val="auto"/>
          <w:lang w:val="en-US" w:eastAsia="zh-CN"/>
        </w:rPr>
      </w:pPr>
      <w:r>
        <w:rPr>
          <w:rFonts w:hint="eastAsia"/>
          <w:lang w:val="en-US" w:eastAsia="zh-CN"/>
        </w:rPr>
        <w:t>“化债项目涉及企业数量”指标，预期指标值为1个，实际完成为1个。实际完成率100</w:t>
      </w:r>
      <w:r>
        <w:rPr>
          <w:rFonts w:hint="eastAsia"/>
          <w:color w:val="auto"/>
          <w:lang w:val="en-US" w:eastAsia="zh-CN"/>
        </w:rPr>
        <w:t>%。</w:t>
      </w:r>
    </w:p>
    <w:p>
      <w:pPr>
        <w:bidi w:val="0"/>
        <w:rPr>
          <w:rFonts w:hint="eastAsia"/>
          <w:color w:val="auto"/>
          <w:lang w:eastAsia="zh-CN"/>
        </w:rPr>
      </w:pPr>
      <w:r>
        <w:rPr>
          <w:rFonts w:hint="eastAsia"/>
          <w:b/>
          <w:bCs/>
          <w:color w:val="auto"/>
          <w:lang w:val="en-US" w:eastAsia="zh-CN"/>
        </w:rPr>
        <w:t>综上，该项指标满分8分，得分8分。</w:t>
      </w:r>
    </w:p>
    <w:p>
      <w:pPr>
        <w:bidi w:val="0"/>
        <w:rPr>
          <w:rFonts w:hint="eastAsia"/>
          <w:b/>
          <w:bCs/>
          <w:color w:val="auto"/>
          <w:lang w:val="en-US" w:eastAsia="zh-CN"/>
        </w:rPr>
      </w:pPr>
      <w:r>
        <w:rPr>
          <w:rFonts w:hint="eastAsia"/>
          <w:b/>
          <w:bCs/>
          <w:color w:val="auto"/>
          <w:lang w:val="en-US" w:eastAsia="zh-CN"/>
        </w:rPr>
        <w:t>2.项目完成质量</w:t>
      </w:r>
    </w:p>
    <w:p>
      <w:pPr>
        <w:bidi w:val="0"/>
        <w:rPr>
          <w:rFonts w:hint="eastAsia"/>
          <w:color w:val="auto"/>
          <w:lang w:val="en-US" w:eastAsia="zh-CN"/>
        </w:rPr>
      </w:pPr>
      <w:r>
        <w:rPr>
          <w:rFonts w:hint="eastAsia"/>
          <w:color w:val="auto"/>
          <w:lang w:val="en-US" w:eastAsia="zh-CN"/>
        </w:rPr>
        <w:t>“资金使用合规率”指标，预期指标值为100%，实际完成为100%。</w:t>
      </w:r>
    </w:p>
    <w:p>
      <w:pPr>
        <w:bidi w:val="0"/>
        <w:rPr>
          <w:rFonts w:hint="eastAsia"/>
          <w:color w:val="auto"/>
          <w:lang w:eastAsia="zh-CN"/>
        </w:rPr>
      </w:pPr>
      <w:r>
        <w:rPr>
          <w:rFonts w:hint="eastAsia"/>
          <w:b/>
          <w:bCs/>
          <w:color w:val="auto"/>
          <w:lang w:val="en-US" w:eastAsia="zh-CN"/>
        </w:rPr>
        <w:t>综上，该项指标满分7分，得分7分。</w:t>
      </w:r>
    </w:p>
    <w:p>
      <w:pPr>
        <w:bidi w:val="0"/>
        <w:rPr>
          <w:rFonts w:hint="eastAsia"/>
          <w:b/>
          <w:bCs/>
          <w:color w:val="auto"/>
          <w:lang w:val="en-US" w:eastAsia="zh-CN"/>
        </w:rPr>
      </w:pPr>
      <w:r>
        <w:rPr>
          <w:rFonts w:hint="eastAsia"/>
          <w:b/>
          <w:bCs/>
          <w:color w:val="auto"/>
          <w:lang w:val="en-US" w:eastAsia="zh-CN"/>
        </w:rPr>
        <w:t>3.项目完成时效</w:t>
      </w:r>
    </w:p>
    <w:p>
      <w:pPr>
        <w:bidi w:val="0"/>
        <w:rPr>
          <w:rFonts w:hint="eastAsia"/>
          <w:color w:val="auto"/>
          <w:lang w:val="en-US" w:eastAsia="zh-CN"/>
        </w:rPr>
      </w:pPr>
      <w:r>
        <w:rPr>
          <w:rFonts w:hint="eastAsia"/>
          <w:color w:val="auto"/>
          <w:lang w:val="en-US" w:eastAsia="zh-CN"/>
        </w:rPr>
        <w:t>“资金支付及时率”指标，预期指标值为100%，实际完成为100%。</w:t>
      </w:r>
    </w:p>
    <w:p>
      <w:pPr>
        <w:bidi w:val="0"/>
        <w:rPr>
          <w:rFonts w:hint="eastAsia"/>
          <w:color w:val="auto"/>
          <w:lang w:val="en-US" w:eastAsia="zh-CN"/>
        </w:rPr>
      </w:pPr>
      <w:r>
        <w:rPr>
          <w:rFonts w:hint="eastAsia"/>
          <w:color w:val="auto"/>
          <w:lang w:val="en-US" w:eastAsia="zh-CN"/>
        </w:rPr>
        <w:t>“任务完成时间”指标，预期指标值为2022年7-12月，实际完成为2022年7-12月。</w:t>
      </w:r>
    </w:p>
    <w:p>
      <w:pPr>
        <w:bidi w:val="0"/>
        <w:rPr>
          <w:rFonts w:hint="eastAsia"/>
          <w:color w:val="auto"/>
          <w:lang w:eastAsia="zh-CN"/>
        </w:rPr>
      </w:pPr>
      <w:r>
        <w:rPr>
          <w:rFonts w:hint="eastAsia"/>
          <w:b/>
          <w:bCs/>
          <w:color w:val="auto"/>
          <w:lang w:val="en-US" w:eastAsia="zh-CN"/>
        </w:rPr>
        <w:t>综上，该项指标满分8分，得分8分。</w:t>
      </w:r>
    </w:p>
    <w:p>
      <w:pPr>
        <w:bidi w:val="0"/>
        <w:rPr>
          <w:rFonts w:hint="eastAsia"/>
          <w:b/>
          <w:bCs/>
          <w:color w:val="auto"/>
          <w:lang w:val="en-US" w:eastAsia="zh-CN"/>
        </w:rPr>
      </w:pPr>
      <w:r>
        <w:rPr>
          <w:rFonts w:hint="eastAsia"/>
          <w:b/>
          <w:bCs/>
          <w:color w:val="auto"/>
          <w:lang w:val="en-US" w:eastAsia="zh-CN"/>
        </w:rPr>
        <w:t>4.项目完成成本</w:t>
      </w:r>
    </w:p>
    <w:p>
      <w:pPr>
        <w:bidi w:val="0"/>
        <w:rPr>
          <w:rFonts w:hint="eastAsia"/>
          <w:color w:val="auto"/>
          <w:lang w:val="en-US" w:eastAsia="zh-CN"/>
        </w:rPr>
      </w:pPr>
      <w:r>
        <w:rPr>
          <w:rFonts w:hint="eastAsia"/>
          <w:color w:val="auto"/>
          <w:lang w:val="en-US" w:eastAsia="zh-CN"/>
        </w:rPr>
        <w:t>“化解建设项目工程款【第三批化债】项目债务成本”指标，预期指标值为≤46.66万元，实际完成为46.66万元。实际完成率100%。</w:t>
      </w:r>
    </w:p>
    <w:p>
      <w:pPr>
        <w:bidi w:val="0"/>
        <w:rPr>
          <w:rFonts w:hint="eastAsia"/>
          <w:color w:val="auto"/>
          <w:lang w:eastAsia="zh-CN"/>
        </w:rPr>
      </w:pPr>
      <w:r>
        <w:rPr>
          <w:rFonts w:hint="eastAsia"/>
          <w:b/>
          <w:bCs/>
          <w:color w:val="auto"/>
          <w:lang w:val="en-US" w:eastAsia="zh-CN"/>
        </w:rPr>
        <w:t>综上，该项指标满分7分，得分7分。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pP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幼儿园教育教学活动和其他日常工作任务正常开展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长期改善</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受偿企业满意度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98%</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b/>
          <w:bCs/>
          <w:lang w:val="en-US" w:eastAsia="zh-CN"/>
        </w:rPr>
      </w:pPr>
      <w:r>
        <w:rPr>
          <w:rFonts w:hint="eastAsia"/>
          <w:b/>
          <w:bCs/>
          <w:lang w:val="en-US" w:eastAsia="zh-CN"/>
        </w:rPr>
        <w:t>1.社会效益指标</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幼儿园教育教学活动和其他日常工作任务正常开展</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指标，预期指标值为保障，实际完成为保障。</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zh-TW" w:eastAsia="zh-CN"/>
        </w:rPr>
        <w:t>“</w:t>
      </w:r>
      <w:r>
        <w:rPr>
          <w:rFonts w:hint="default" w:ascii="宋体" w:hAnsi="宋体" w:eastAsia="宋体" w:cs="宋体"/>
          <w:color w:val="auto"/>
          <w:kern w:val="2"/>
          <w:highlight w:val="none"/>
          <w:u w:color="000000"/>
          <w:shd w:val="clear" w:color="auto" w:fill="auto"/>
          <w:lang w:val="en-US" w:eastAsia="zh-CN"/>
        </w:rPr>
        <w:t>化解单位债务，提升单位和政府形象</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指标，预期指标值为有效提升，实际完成为有效提升。</w:t>
      </w:r>
    </w:p>
    <w:p>
      <w:pPr>
        <w:bidi w:val="0"/>
        <w:rPr>
          <w:rFonts w:hint="eastAsia"/>
          <w:b w:val="0"/>
          <w:bCs w:val="0"/>
          <w:color w:val="auto"/>
          <w:highlight w:val="none"/>
          <w:lang w:val="en-US" w:eastAsia="zh-CN"/>
        </w:rPr>
      </w:pPr>
      <w:r>
        <w:rPr>
          <w:rFonts w:hint="eastAsia"/>
          <w:b w:val="0"/>
          <w:bCs w:val="0"/>
          <w:color w:val="auto"/>
          <w:highlight w:val="none"/>
          <w:lang w:val="en-US" w:eastAsia="zh-CN"/>
        </w:rPr>
        <w:t>通过项目的实施，排除校园安全隐患，为幼儿提供更好的学习生活环境，保障了</w:t>
      </w:r>
      <w:r>
        <w:rPr>
          <w:rFonts w:hint="eastAsia" w:ascii="宋体" w:hAnsi="宋体" w:eastAsia="宋体" w:cs="宋体"/>
          <w:color w:val="auto"/>
          <w:kern w:val="2"/>
          <w:highlight w:val="none"/>
          <w:u w:color="000000"/>
          <w:shd w:val="clear" w:color="auto" w:fill="auto"/>
          <w:lang w:val="en-US" w:eastAsia="zh-CN"/>
        </w:rPr>
        <w:t>幼儿园教育教学活动和其他日常工作任务正常开展</w:t>
      </w:r>
      <w:r>
        <w:rPr>
          <w:rFonts w:hint="eastAsia" w:cs="宋体"/>
          <w:color w:val="auto"/>
          <w:kern w:val="2"/>
          <w:highlight w:val="none"/>
          <w:u w:color="000000"/>
          <w:shd w:val="clear" w:color="auto" w:fill="auto"/>
          <w:lang w:val="en-US" w:eastAsia="zh-CN"/>
        </w:rPr>
        <w:t>。</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lang w:val="en-US" w:eastAsia="zh-CN"/>
        </w:rPr>
      </w:pPr>
      <w:r>
        <w:rPr>
          <w:rFonts w:hint="eastAsia"/>
          <w:b/>
          <w:bCs/>
          <w:lang w:val="en-US" w:eastAsia="zh-CN"/>
        </w:rPr>
        <w:t>2.可持续影响指标</w:t>
      </w:r>
    </w:p>
    <w:p>
      <w:pPr>
        <w:bidi w:val="0"/>
        <w:rPr>
          <w:rFonts w:hint="eastAsia"/>
          <w:b w:val="0"/>
          <w:bCs w:val="0"/>
          <w:lang w:val="en-US" w:eastAsia="zh-CN"/>
        </w:rPr>
      </w:pPr>
      <w:r>
        <w:rPr>
          <w:rFonts w:hint="eastAsia"/>
          <w:lang w:eastAsia="zh-CN"/>
        </w:rPr>
        <w:t>“</w:t>
      </w:r>
      <w:r>
        <w:rPr>
          <w:rFonts w:hint="eastAsia"/>
          <w:lang w:val="en-US" w:eastAsia="zh-CN"/>
        </w:rPr>
        <w:t>完善政府债务化解机制”指标，预期指标值为长期改善，实际完成为长期改善。</w:t>
      </w:r>
    </w:p>
    <w:p>
      <w:pPr>
        <w:bidi w:val="0"/>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en-US" w:eastAsia="zh-CN"/>
        </w:rPr>
        <w:t>通过项目的实施，长期改善学前教育阶段办学条件，</w:t>
      </w:r>
      <w:r>
        <w:rPr>
          <w:rFonts w:hint="default" w:ascii="宋体" w:hAnsi="宋体" w:eastAsia="宋体" w:cs="宋体"/>
          <w:color w:val="auto"/>
          <w:kern w:val="2"/>
          <w:highlight w:val="none"/>
          <w:u w:color="000000"/>
          <w:shd w:val="clear" w:color="auto" w:fill="auto"/>
          <w:lang w:val="en-US" w:eastAsia="zh-CN"/>
        </w:rPr>
        <w:t>100</w:t>
      </w:r>
      <w:r>
        <w:rPr>
          <w:rFonts w:hint="eastAsia" w:ascii="宋体" w:hAnsi="宋体" w:eastAsia="宋体" w:cs="宋体"/>
          <w:color w:val="auto"/>
          <w:kern w:val="2"/>
          <w:highlight w:val="none"/>
          <w:u w:color="000000"/>
          <w:shd w:val="clear" w:color="auto" w:fill="auto"/>
          <w:lang w:val="en-US" w:eastAsia="zh-CN"/>
        </w:rPr>
        <w:t>%提升学前教育均衡发展水平。</w:t>
      </w:r>
    </w:p>
    <w:p>
      <w:pPr>
        <w:bidi w:val="0"/>
        <w:rPr>
          <w:rFonts w:hint="eastAsia"/>
          <w:color w:val="auto"/>
          <w:highlight w:val="none"/>
          <w:lang w:val="en-US" w:eastAsia="zh-CN"/>
        </w:rPr>
      </w:pPr>
      <w:r>
        <w:rPr>
          <w:rFonts w:hint="eastAsia"/>
          <w:b/>
          <w:bCs/>
          <w:color w:val="auto"/>
          <w:highlight w:val="none"/>
          <w:lang w:val="en-US" w:eastAsia="zh-CN"/>
        </w:rPr>
        <w:t>综上，该项指标满分10分，得分10分。</w:t>
      </w:r>
    </w:p>
    <w:p>
      <w:pPr>
        <w:bidi w:val="0"/>
        <w:rPr>
          <w:rFonts w:hint="eastAsia"/>
          <w:b/>
          <w:bCs/>
          <w:color w:val="auto"/>
          <w:highlight w:val="none"/>
          <w:lang w:val="en-US" w:eastAsia="zh-CN"/>
        </w:rPr>
      </w:pPr>
      <w:r>
        <w:rPr>
          <w:rFonts w:hint="eastAsia"/>
          <w:b/>
          <w:bCs/>
          <w:color w:val="auto"/>
          <w:highlight w:val="none"/>
          <w:lang w:val="en-US" w:eastAsia="zh-CN"/>
        </w:rPr>
        <w:t>5.满意度指标</w:t>
      </w:r>
    </w:p>
    <w:p>
      <w:pPr>
        <w:bidi w:val="0"/>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en-US" w:eastAsia="zh-CN"/>
        </w:rPr>
        <w:t>“受偿企业满意度”指标，预期指标值为≥95，实际完成为98%。</w:t>
      </w:r>
    </w:p>
    <w:p>
      <w:pPr>
        <w:bidi w:val="0"/>
        <w:rPr>
          <w:rFonts w:hint="eastAsia"/>
          <w:b/>
          <w:bCs/>
          <w:color w:val="auto"/>
          <w:highlight w:val="none"/>
          <w:lang w:val="en-US" w:eastAsia="zh-CN"/>
        </w:rPr>
      </w:pPr>
      <w:r>
        <w:rPr>
          <w:rFonts w:hint="eastAsia"/>
          <w:b/>
          <w:bCs/>
          <w:color w:val="auto"/>
          <w:highlight w:val="none"/>
          <w:lang w:val="en-US" w:eastAsia="zh-CN"/>
        </w:rPr>
        <w:t>综上，该项指标满分10分，得分10分。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lang w:eastAsia="zh-CN"/>
        </w:rPr>
      </w:pPr>
      <w:bookmarkStart w:id="12" w:name="_Toc1921"/>
      <w:bookmarkStart w:id="13" w:name="_Toc28290"/>
      <w:r>
        <w:rPr>
          <w:rFonts w:hint="eastAsia"/>
          <w:b/>
          <w:bCs/>
          <w:lang w:eastAsia="zh-CN"/>
        </w:rPr>
        <w:t>（</w:t>
      </w:r>
      <w:r>
        <w:rPr>
          <w:rFonts w:hint="eastAsia"/>
          <w:b/>
          <w:bCs/>
          <w:lang w:val="en-US" w:eastAsia="zh-CN"/>
        </w:rPr>
        <w:t>一</w:t>
      </w:r>
      <w:r>
        <w:rPr>
          <w:rFonts w:hint="eastAsia"/>
          <w:b/>
          <w:bCs/>
          <w:lang w:eastAsia="zh-CN"/>
        </w:rPr>
        <w:t>）</w:t>
      </w:r>
      <w:r>
        <w:rPr>
          <w:rFonts w:hint="eastAsia"/>
          <w:b/>
          <w:bCs/>
        </w:rPr>
        <w:t>主要经验及做法</w:t>
      </w:r>
    </w:p>
    <w:p>
      <w:pPr>
        <w:bidi w:val="0"/>
        <w:rPr>
          <w:rFonts w:hint="eastAsia"/>
          <w:color w:val="auto"/>
          <w:lang w:eastAsia="zh-CN"/>
        </w:rPr>
      </w:pPr>
      <w:r>
        <w:rPr>
          <w:rFonts w:hint="eastAsia"/>
          <w:color w:val="auto"/>
          <w:lang w:val="en-US" w:eastAsia="zh-CN"/>
        </w:rPr>
        <w:t>阜康市滋泥泉子镇中心幼儿园</w:t>
      </w:r>
      <w:r>
        <w:rPr>
          <w:rFonts w:hint="eastAsia" w:cs="宋体"/>
          <w:color w:val="auto"/>
          <w:highlight w:val="none"/>
          <w:shd w:val="clear" w:color="auto" w:fill="auto"/>
          <w:lang w:val="en-US" w:eastAsia="zh-CN"/>
        </w:rPr>
        <w:t>建设项目工程款【第三批化债】项目化解债务项目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46.66</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46.66</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val="en-US" w:eastAsia="zh-CN"/>
        </w:rPr>
        <w:t>阜康市滋泥泉子镇中心幼儿园</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阜康市滋泥泉子镇中心幼儿园</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highlight w:val="none"/>
          <w:lang w:eastAsia="zh-CN"/>
        </w:rPr>
      </w:pPr>
      <w:r>
        <w:rPr>
          <w:rFonts w:hint="eastAsia"/>
          <w:b/>
          <w:bCs/>
          <w:highlight w:val="none"/>
          <w:lang w:eastAsia="zh-CN"/>
        </w:rPr>
        <w:t>（</w:t>
      </w:r>
      <w:r>
        <w:rPr>
          <w:rFonts w:hint="eastAsia"/>
          <w:b/>
          <w:bCs/>
          <w:highlight w:val="none"/>
          <w:lang w:val="en-US" w:eastAsia="zh-CN"/>
        </w:rPr>
        <w:t>二</w:t>
      </w:r>
      <w:r>
        <w:rPr>
          <w:rFonts w:hint="eastAsia"/>
          <w:b/>
          <w:bCs/>
          <w:highlight w:val="none"/>
          <w:lang w:eastAsia="zh-CN"/>
        </w:rPr>
        <w:t>）</w:t>
      </w:r>
      <w:r>
        <w:rPr>
          <w:rFonts w:hint="eastAsia"/>
          <w:b/>
          <w:bCs/>
          <w:highlight w:val="none"/>
        </w:rPr>
        <w:t>存在的问题及原因分析</w:t>
      </w:r>
    </w:p>
    <w:p>
      <w:pPr>
        <w:bidi w:val="0"/>
        <w:rPr>
          <w:rFonts w:hint="default"/>
          <w:highlight w:val="none"/>
          <w:lang w:val="en-US" w:eastAsia="zh-CN"/>
        </w:rPr>
      </w:pPr>
      <w:r>
        <w:rPr>
          <w:rFonts w:hint="eastAsia"/>
          <w:highlight w:val="none"/>
          <w:lang w:val="en-US" w:eastAsia="zh-CN"/>
        </w:rPr>
        <w:t>1.由单位财务人员是在园教师，对会计专业知识水平低，对绩效目标部分指标制定等概念模糊。</w:t>
      </w:r>
    </w:p>
    <w:p>
      <w:pPr>
        <w:pStyle w:val="3"/>
        <w:pageBreakBefore w:val="0"/>
        <w:numPr>
          <w:ilvl w:val="0"/>
          <w:numId w:val="4"/>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default"/>
          <w:highlight w:val="none"/>
          <w:lang w:val="en-US" w:eastAsia="zh-CN"/>
        </w:rPr>
      </w:pPr>
      <w:r>
        <w:rPr>
          <w:rFonts w:hint="eastAsia"/>
          <w:highlight w:val="none"/>
          <w:lang w:val="en-US" w:eastAsia="zh-CN"/>
        </w:rPr>
        <w:t>1.提高业务能力，编制绩效管理指标尽量符合实际情况，以达到预算绩效管理标准化、常态化的要求，确保绩效评价达到预期目的。</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eastAsia" w:ascii="宋体" w:hAnsi="宋体" w:eastAsia="宋体" w:cs="宋体"/>
          <w:lang w:val="en-US" w:eastAsia="zh-CN"/>
        </w:rPr>
        <w:sectPr>
          <w:footerReference r:id="rId7" w:type="default"/>
          <w:pgSz w:w="11906" w:h="16838"/>
          <w:pgMar w:top="1440" w:right="1800" w:bottom="1440" w:left="1800" w:header="737" w:footer="851" w:gutter="0"/>
          <w:pgNumType w:fmt="decimal" w:start="1"/>
          <w:cols w:space="720" w:num="1"/>
          <w:docGrid w:type="lines" w:linePitch="408" w:charSpace="0"/>
        </w:sectPr>
      </w:pPr>
      <w:r>
        <w:rPr>
          <w:rFonts w:hint="eastAsia" w:ascii="宋体" w:hAnsi="宋体" w:eastAsia="宋体" w:cs="宋体"/>
          <w:lang w:val="en-US" w:eastAsia="zh-CN"/>
        </w:rPr>
        <w:t>无其他需要说明的问题</w:t>
      </w:r>
    </w:p>
    <w:p>
      <w:pPr>
        <w:pStyle w:val="2"/>
        <w:rPr>
          <w:rFonts w:hint="eastAsia"/>
          <w:lang w:val="en-US" w:eastAsia="zh-CN"/>
        </w:rPr>
      </w:pPr>
    </w:p>
    <w:tbl>
      <w:tblPr>
        <w:tblStyle w:val="10"/>
        <w:tblW w:w="767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40"/>
        <w:gridCol w:w="631"/>
        <w:gridCol w:w="955"/>
        <w:gridCol w:w="300"/>
        <w:gridCol w:w="1077"/>
        <w:gridCol w:w="995"/>
        <w:gridCol w:w="1050"/>
        <w:gridCol w:w="396"/>
        <w:gridCol w:w="463"/>
        <w:gridCol w:w="532"/>
        <w:gridCol w:w="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2" w:hRule="atLeast"/>
        </w:trPr>
        <w:tc>
          <w:tcPr>
            <w:tcW w:w="1371"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ascii="黑体" w:hAnsi="宋体" w:eastAsia="黑体" w:cs="黑体"/>
                <w:i w:val="0"/>
                <w:color w:val="000000" w:themeColor="text1"/>
                <w:sz w:val="15"/>
                <w:szCs w:val="15"/>
                <w:u w:val="none"/>
                <w14:textFill>
                  <w14:solidFill>
                    <w14:schemeClr w14:val="tx1"/>
                  </w14:solidFill>
                </w14:textFill>
              </w:rPr>
            </w:pPr>
            <w:r>
              <w:rPr>
                <w:rFonts w:hint="eastAsia" w:ascii="黑体" w:hAnsi="宋体" w:eastAsia="黑体" w:cs="黑体"/>
                <w:i w:val="0"/>
                <w:color w:val="000000" w:themeColor="text1"/>
                <w:kern w:val="0"/>
                <w:sz w:val="15"/>
                <w:szCs w:val="15"/>
                <w:u w:val="none"/>
                <w:lang w:val="en-US" w:eastAsia="zh-CN" w:bidi="ar"/>
                <w14:textFill>
                  <w14:solidFill>
                    <w14:schemeClr w14:val="tx1"/>
                  </w14:solidFill>
                </w14:textFill>
              </w:rPr>
              <w:t>附1</w:t>
            </w:r>
          </w:p>
        </w:tc>
        <w:tc>
          <w:tcPr>
            <w:tcW w:w="955"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30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1077"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995"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1050"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396"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463"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532"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c>
          <w:tcPr>
            <w:tcW w:w="532" w:type="dxa"/>
            <w:tcBorders>
              <w:top w:val="nil"/>
              <w:left w:val="nil"/>
              <w:bottom w:val="nil"/>
              <w:right w:val="nil"/>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7671"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黑体" w:hAnsi="宋体" w:eastAsia="黑体" w:cs="黑体"/>
                <w:b/>
                <w:i w:val="0"/>
                <w:color w:val="000000" w:themeColor="text1"/>
                <w:sz w:val="15"/>
                <w:szCs w:val="15"/>
                <w:u w:val="none"/>
                <w14:textFill>
                  <w14:solidFill>
                    <w14:schemeClr w14:val="tx1"/>
                  </w14:solidFill>
                </w14:textFill>
              </w:rPr>
            </w:pPr>
            <w:r>
              <w:rPr>
                <w:rFonts w:hint="eastAsia" w:ascii="黑体" w:hAnsi="宋体" w:eastAsia="黑体" w:cs="黑体"/>
                <w:b/>
                <w:i w:val="0"/>
                <w:color w:val="000000" w:themeColor="text1"/>
                <w:kern w:val="0"/>
                <w:sz w:val="21"/>
                <w:szCs w:val="21"/>
                <w:u w:val="none"/>
                <w:lang w:val="en-US" w:eastAsia="zh-CN" w:bidi="ar"/>
                <w14:textFill>
                  <w14:solidFill>
                    <w14:schemeClr w14:val="tx1"/>
                  </w14:solidFill>
                </w14:textFill>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7671"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trPr>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项目名称</w:t>
            </w:r>
          </w:p>
        </w:tc>
        <w:tc>
          <w:tcPr>
            <w:tcW w:w="630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阜康市滋泥泉子镇中心幼儿园建设项目工程款【第三批化债】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主管部门</w:t>
            </w:r>
          </w:p>
        </w:tc>
        <w:tc>
          <w:tcPr>
            <w:tcW w:w="332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阜康市滋泥泉子镇中心幼儿园</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实施单位</w:t>
            </w:r>
          </w:p>
        </w:tc>
        <w:tc>
          <w:tcPr>
            <w:tcW w:w="15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阜康市滋泥泉子镇中心幼儿园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1" w:hRule="atLeast"/>
        </w:trPr>
        <w:tc>
          <w:tcPr>
            <w:tcW w:w="13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项目资金（万元）</w:t>
            </w:r>
          </w:p>
        </w:tc>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年初预算数</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全年预算数</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全年执行数</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分值</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执行率</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2" w:hRule="atLeast"/>
        </w:trPr>
        <w:tc>
          <w:tcPr>
            <w:tcW w:w="13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年度资金总额</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46.66</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46.66</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46.66</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100.00%</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trPr>
        <w:tc>
          <w:tcPr>
            <w:tcW w:w="13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其中：当年财政拨款</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default" w:ascii="宋体" w:hAnsi="宋体" w:eastAsia="宋体" w:cs="宋体"/>
                <w:i w:val="0"/>
                <w:color w:val="000000" w:themeColor="text1"/>
                <w:sz w:val="15"/>
                <w:szCs w:val="15"/>
                <w:u w:val="none"/>
                <w:lang w:val="en-US" w:eastAsia="zh-CN"/>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46.66</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46.66</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46.66</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right"/>
              <w:rPr>
                <w:rFonts w:hint="eastAsia" w:ascii="宋体" w:hAnsi="宋体" w:eastAsia="宋体" w:cs="宋体"/>
                <w:i w:val="0"/>
                <w:color w:val="000000" w:themeColor="text1"/>
                <w:sz w:val="15"/>
                <w:szCs w:val="15"/>
                <w:u w:val="none"/>
                <w14:textFill>
                  <w14:solidFill>
                    <w14:schemeClr w14:val="tx1"/>
                  </w14:solidFill>
                </w14:textFill>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13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上年结转资金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lang w:val="en-US" w:eastAsia="zh-CN"/>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0</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lang w:val="en-US" w:eastAsia="zh-CN"/>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0</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lang w:val="en-US" w:eastAsia="zh-CN"/>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right"/>
              <w:rPr>
                <w:rFonts w:hint="eastAsia" w:ascii="宋体" w:hAnsi="宋体" w:eastAsia="宋体" w:cs="宋体"/>
                <w:i w:val="0"/>
                <w:color w:val="000000" w:themeColor="text1"/>
                <w:sz w:val="15"/>
                <w:szCs w:val="15"/>
                <w:u w:val="none"/>
                <w14:textFill>
                  <w14:solidFill>
                    <w14:schemeClr w14:val="tx1"/>
                  </w14:solidFill>
                </w14:textFill>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13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 xml:space="preserve"> 其他资金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lang w:val="en-US" w:eastAsia="zh-CN"/>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0</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lang w:val="en-US" w:eastAsia="zh-CN"/>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0</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lang w:val="en-US" w:eastAsia="zh-CN"/>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w:t>
            </w: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right"/>
              <w:rPr>
                <w:rFonts w:hint="eastAsia" w:ascii="宋体" w:hAnsi="宋体" w:eastAsia="宋体" w:cs="宋体"/>
                <w:i w:val="0"/>
                <w:color w:val="000000" w:themeColor="text1"/>
                <w:sz w:val="15"/>
                <w:szCs w:val="15"/>
                <w:u w:val="none"/>
                <w14:textFill>
                  <w14:solidFill>
                    <w14:schemeClr w14:val="tx1"/>
                  </w14:solidFill>
                </w14:textFill>
              </w:rPr>
            </w:pPr>
          </w:p>
        </w:tc>
        <w:tc>
          <w:tcPr>
            <w:tcW w:w="5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righ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年度总体目标</w:t>
            </w:r>
          </w:p>
        </w:tc>
        <w:tc>
          <w:tcPr>
            <w:tcW w:w="395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预期目标</w:t>
            </w:r>
          </w:p>
        </w:tc>
        <w:tc>
          <w:tcPr>
            <w:tcW w:w="297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80" w:hRule="atLeast"/>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395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为进一步加强债务管理，完善政府债务化解机制，切实落实债务化解有关规定，实行科学化、精细</w:t>
            </w:r>
            <w:r>
              <w:rPr>
                <w:rStyle w:val="17"/>
                <w:rFonts w:eastAsia="宋体"/>
                <w:color w:val="000000" w:themeColor="text1"/>
                <w:sz w:val="15"/>
                <w:szCs w:val="15"/>
                <w:lang w:val="en-US" w:eastAsia="zh-CN" w:bidi="ar"/>
                <w14:textFill>
                  <w14:solidFill>
                    <w14:schemeClr w14:val="tx1"/>
                  </w14:solidFill>
                </w14:textFill>
              </w:rPr>
              <w:t>‎</w:t>
            </w: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化管理，加强对化解债务资金分配使用</w:t>
            </w:r>
            <w:r>
              <w:rPr>
                <w:rStyle w:val="17"/>
                <w:rFonts w:eastAsia="宋体"/>
                <w:color w:val="000000" w:themeColor="text1"/>
                <w:sz w:val="15"/>
                <w:szCs w:val="15"/>
                <w:lang w:val="en-US" w:eastAsia="zh-CN" w:bidi="ar"/>
                <w14:textFill>
                  <w14:solidFill>
                    <w14:schemeClr w14:val="tx1"/>
                  </w14:solidFill>
                </w14:textFill>
              </w:rPr>
              <w:t>‎</w:t>
            </w: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，全面准确掌握债务化</w:t>
            </w:r>
            <w:r>
              <w:rPr>
                <w:rStyle w:val="17"/>
                <w:rFonts w:eastAsia="宋体"/>
                <w:color w:val="000000" w:themeColor="text1"/>
                <w:sz w:val="15"/>
                <w:szCs w:val="15"/>
                <w:lang w:val="en-US" w:eastAsia="zh-CN" w:bidi="ar"/>
                <w14:textFill>
                  <w14:solidFill>
                    <w14:schemeClr w14:val="tx1"/>
                  </w14:solidFill>
                </w14:textFill>
              </w:rPr>
              <w:t>‎</w:t>
            </w: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解情况，确保偿债资金</w:t>
            </w:r>
            <w:r>
              <w:rPr>
                <w:rStyle w:val="17"/>
                <w:rFonts w:eastAsia="宋体"/>
                <w:color w:val="000000" w:themeColor="text1"/>
                <w:sz w:val="15"/>
                <w:szCs w:val="15"/>
                <w:lang w:val="en-US" w:eastAsia="zh-CN" w:bidi="ar"/>
                <w14:textFill>
                  <w14:solidFill>
                    <w14:schemeClr w14:val="tx1"/>
                  </w14:solidFill>
                </w14:textFill>
              </w:rPr>
              <w:t>‎</w:t>
            </w: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的安全、规范和有效。2022年计划完成1个项目债务化解工作。</w:t>
            </w:r>
          </w:p>
        </w:tc>
        <w:tc>
          <w:tcPr>
            <w:tcW w:w="297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left"/>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截止2022年12月底，本单位完成化解债务项目数量1个，化债项目涉及企业数量1个，化解项目债务成本</w:t>
            </w:r>
            <w:r>
              <w:rPr>
                <w:rFonts w:hint="eastAsia" w:cs="宋体"/>
                <w:i w:val="0"/>
                <w:color w:val="000000" w:themeColor="text1"/>
                <w:sz w:val="15"/>
                <w:szCs w:val="15"/>
                <w:u w:val="none"/>
                <w:lang w:val="en-US" w:eastAsia="zh-CN"/>
                <w14:textFill>
                  <w14:solidFill>
                    <w14:schemeClr w14:val="tx1"/>
                  </w14:solidFill>
                </w14:textFill>
              </w:rPr>
              <w:t>46.66</w:t>
            </w: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万元，资金使用合规率、支付及时率达到100%，,有效提升单位和政府形象，长期完善政府债务化解机制效益，受偿企业满意度达到95%。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740"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绩 效 指 标</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一级指标</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二级指标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三级指标</w:t>
            </w:r>
          </w:p>
        </w:tc>
        <w:tc>
          <w:tcPr>
            <w:tcW w:w="9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年度指标值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实际完成值</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分值</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得分</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both"/>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偏差</w:t>
            </w:r>
            <w:r>
              <w:rPr>
                <w:rStyle w:val="18"/>
                <w:color w:val="000000" w:themeColor="text1"/>
                <w:sz w:val="15"/>
                <w:szCs w:val="15"/>
                <w:lang w:val="en-US" w:eastAsia="zh-CN" w:bidi="ar"/>
                <w14:textFill>
                  <w14:solidFill>
                    <w14:schemeClr w14:val="tx1"/>
                  </w14:solidFill>
                </w14:textFill>
              </w:rPr>
              <w:t>原因</w:t>
            </w:r>
            <w:r>
              <w:rPr>
                <w:rStyle w:val="19"/>
                <w:color w:val="000000" w:themeColor="text1"/>
                <w:sz w:val="15"/>
                <w:szCs w:val="15"/>
                <w:lang w:val="en-US" w:eastAsia="zh-CN" w:bidi="ar"/>
                <w14:textFill>
                  <w14:solidFill>
                    <w14:schemeClr w14:val="tx1"/>
                  </w14:solidFill>
                </w14:textFill>
              </w:rPr>
              <w:t>分析及改进</w:t>
            </w:r>
            <w:r>
              <w:rPr>
                <w:rStyle w:val="18"/>
                <w:color w:val="000000" w:themeColor="text1"/>
                <w:sz w:val="15"/>
                <w:szCs w:val="15"/>
                <w:lang w:val="en-US" w:eastAsia="zh-CN" w:bidi="ar"/>
                <w14:textFill>
                  <w14:solidFill>
                    <w14:schemeClr w14:val="tx1"/>
                  </w14:solidFill>
                </w14:textFill>
              </w:rPr>
              <w:t>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产出指标</w:t>
            </w: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数量指标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化解债务项目数量</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ascii="Calibri" w:hAnsi="Calibri" w:eastAsia="宋体" w:cs="Calibri"/>
                <w:i w:val="0"/>
                <w:color w:val="000000" w:themeColor="text1"/>
                <w:sz w:val="15"/>
                <w:szCs w:val="15"/>
                <w:u w:val="none"/>
                <w14:textFill>
                  <w14:solidFill>
                    <w14:schemeClr w14:val="tx1"/>
                  </w14:solidFill>
                </w14:textFill>
              </w:rPr>
            </w:pPr>
            <w:r>
              <w:rPr>
                <w:rStyle w:val="20"/>
                <w:rFonts w:eastAsia="宋体"/>
                <w:color w:val="000000" w:themeColor="text1"/>
                <w:sz w:val="15"/>
                <w:szCs w:val="15"/>
                <w:lang w:val="en-US" w:eastAsia="zh-CN" w:bidi="ar"/>
                <w14:textFill>
                  <w14:solidFill>
                    <w14:schemeClr w14:val="tx1"/>
                  </w14:solidFill>
                </w14:textFill>
              </w:rPr>
              <w:t>1</w:t>
            </w:r>
            <w:r>
              <w:rPr>
                <w:rStyle w:val="19"/>
                <w:color w:val="000000" w:themeColor="text1"/>
                <w:sz w:val="15"/>
                <w:szCs w:val="15"/>
                <w:lang w:val="en-US" w:eastAsia="zh-CN" w:bidi="ar"/>
                <w14:textFill>
                  <w14:solidFill>
                    <w14:schemeClr w14:val="tx1"/>
                  </w14:solidFill>
                </w14:textFill>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default" w:ascii="Calibri" w:hAnsi="Calibri" w:eastAsia="宋体" w:cs="Calibri"/>
                <w:i w:val="0"/>
                <w:color w:val="000000" w:themeColor="text1"/>
                <w:sz w:val="15"/>
                <w:szCs w:val="15"/>
                <w:u w:val="none"/>
                <w14:textFill>
                  <w14:solidFill>
                    <w14:schemeClr w14:val="tx1"/>
                  </w14:solidFill>
                </w14:textFill>
              </w:rPr>
            </w:pPr>
            <w:r>
              <w:rPr>
                <w:rStyle w:val="20"/>
                <w:rFonts w:eastAsia="宋体"/>
                <w:color w:val="000000" w:themeColor="text1"/>
                <w:sz w:val="15"/>
                <w:szCs w:val="15"/>
                <w:lang w:val="en-US" w:eastAsia="zh-CN" w:bidi="ar"/>
                <w14:textFill>
                  <w14:solidFill>
                    <w14:schemeClr w14:val="tx1"/>
                  </w14:solidFill>
                </w14:textFill>
              </w:rPr>
              <w:t>1</w:t>
            </w:r>
            <w:r>
              <w:rPr>
                <w:rStyle w:val="19"/>
                <w:color w:val="000000" w:themeColor="text1"/>
                <w:sz w:val="15"/>
                <w:szCs w:val="15"/>
                <w:lang w:val="en-US" w:eastAsia="zh-CN" w:bidi="ar"/>
                <w14:textFill>
                  <w14:solidFill>
                    <w14:schemeClr w14:val="tx1"/>
                  </w14:solidFill>
                </w14:textFill>
              </w:rPr>
              <w:t>个</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8</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8</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化债项目涉及企业数量</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default" w:ascii="Calibri" w:hAnsi="Calibri" w:eastAsia="宋体" w:cs="Calibri"/>
                <w:i w:val="0"/>
                <w:color w:val="000000" w:themeColor="text1"/>
                <w:sz w:val="15"/>
                <w:szCs w:val="15"/>
                <w:u w:val="none"/>
                <w14:textFill>
                  <w14:solidFill>
                    <w14:schemeClr w14:val="tx1"/>
                  </w14:solidFill>
                </w14:textFill>
              </w:rPr>
            </w:pPr>
            <w:r>
              <w:rPr>
                <w:rStyle w:val="20"/>
                <w:rFonts w:eastAsia="宋体"/>
                <w:color w:val="000000" w:themeColor="text1"/>
                <w:sz w:val="15"/>
                <w:szCs w:val="15"/>
                <w:lang w:val="en-US" w:eastAsia="zh-CN" w:bidi="ar"/>
                <w14:textFill>
                  <w14:solidFill>
                    <w14:schemeClr w14:val="tx1"/>
                  </w14:solidFill>
                </w14:textFill>
              </w:rPr>
              <w:t>1</w:t>
            </w:r>
            <w:r>
              <w:rPr>
                <w:rStyle w:val="19"/>
                <w:color w:val="000000" w:themeColor="text1"/>
                <w:sz w:val="15"/>
                <w:szCs w:val="15"/>
                <w:lang w:val="en-US" w:eastAsia="zh-CN" w:bidi="ar"/>
                <w14:textFill>
                  <w14:solidFill>
                    <w14:schemeClr w14:val="tx1"/>
                  </w14:solidFill>
                </w14:textFill>
              </w:rPr>
              <w:t>个</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default" w:ascii="Calibri" w:hAnsi="Calibri" w:eastAsia="宋体" w:cs="Calibri"/>
                <w:i w:val="0"/>
                <w:color w:val="000000" w:themeColor="text1"/>
                <w:sz w:val="15"/>
                <w:szCs w:val="15"/>
                <w:u w:val="none"/>
                <w14:textFill>
                  <w14:solidFill>
                    <w14:schemeClr w14:val="tx1"/>
                  </w14:solidFill>
                </w14:textFill>
              </w:rPr>
            </w:pPr>
            <w:r>
              <w:rPr>
                <w:rStyle w:val="20"/>
                <w:rFonts w:eastAsia="宋体"/>
                <w:color w:val="000000" w:themeColor="text1"/>
                <w:sz w:val="15"/>
                <w:szCs w:val="15"/>
                <w:lang w:val="en-US" w:eastAsia="zh-CN" w:bidi="ar"/>
                <w14:textFill>
                  <w14:solidFill>
                    <w14:schemeClr w14:val="tx1"/>
                  </w14:solidFill>
                </w14:textFill>
              </w:rPr>
              <w:t>1</w:t>
            </w:r>
            <w:r>
              <w:rPr>
                <w:rStyle w:val="19"/>
                <w:color w:val="000000" w:themeColor="text1"/>
                <w:sz w:val="15"/>
                <w:szCs w:val="15"/>
                <w:lang w:val="en-US" w:eastAsia="zh-CN" w:bidi="ar"/>
                <w14:textFill>
                  <w14:solidFill>
                    <w14:schemeClr w14:val="tx1"/>
                  </w14:solidFill>
                </w14:textFill>
              </w:rPr>
              <w:t>个</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7</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7</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质量指标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资金使用合规率</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时效指标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资金支付及时率</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90%</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8</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cs="宋体"/>
                <w:i w:val="0"/>
                <w:color w:val="000000" w:themeColor="text1"/>
                <w:kern w:val="0"/>
                <w:sz w:val="15"/>
                <w:szCs w:val="15"/>
                <w:u w:val="none"/>
                <w:lang w:val="en-US" w:eastAsia="zh-CN" w:bidi="ar"/>
                <w14:textFill>
                  <w14:solidFill>
                    <w14:schemeClr w14:val="tx1"/>
                  </w14:solidFill>
                </w14:textFill>
              </w:rPr>
              <w:t>8</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任务完成时间</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2022年7-12月</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2022年7-12月</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7</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7</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成本指标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化解阜康市滋泥泉子镇中心幼儿园建设项目工程款【第三批化债】项目债务成本</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w:t>
            </w:r>
            <w:r>
              <w:rPr>
                <w:rFonts w:hint="eastAsia" w:cs="宋体"/>
                <w:i w:val="0"/>
                <w:color w:val="000000" w:themeColor="text1"/>
                <w:sz w:val="15"/>
                <w:szCs w:val="15"/>
                <w:u w:val="none"/>
                <w:lang w:val="en-US" w:eastAsia="zh-CN"/>
                <w14:textFill>
                  <w14:solidFill>
                    <w14:schemeClr w14:val="tx1"/>
                  </w14:solidFill>
                </w14:textFill>
              </w:rPr>
              <w:t>46.66</w:t>
            </w: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万元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cs="宋体"/>
                <w:i w:val="0"/>
                <w:color w:val="000000" w:themeColor="text1"/>
                <w:sz w:val="15"/>
                <w:szCs w:val="15"/>
                <w:u w:val="none"/>
                <w:lang w:val="en-US" w:eastAsia="zh-CN"/>
                <w14:textFill>
                  <w14:solidFill>
                    <w14:schemeClr w14:val="tx1"/>
                  </w14:solidFill>
                </w14:textFill>
              </w:rPr>
              <w:t>46.66</w:t>
            </w: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万元</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效益指标</w:t>
            </w:r>
          </w:p>
        </w:tc>
        <w:tc>
          <w:tcPr>
            <w:tcW w:w="9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经济效益指标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社会效益指标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幼儿园教育教学活动和其他日常工作任务正常开展</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保障</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5</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2"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化解单位债务，提升单位和政府形象</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有效提升</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5</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5</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51"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生态效益指标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0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56"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10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可持续影响指标</w:t>
            </w:r>
          </w:p>
        </w:tc>
        <w:tc>
          <w:tcPr>
            <w:tcW w:w="1377" w:type="dxa"/>
            <w:gridSpan w:val="2"/>
            <w:tcBorders>
              <w:top w:val="nil"/>
              <w:left w:val="single" w:color="000000" w:sz="4" w:space="0"/>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完善政府债务化解机制</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长期改善</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98%</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20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19</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5" w:hRule="atLeast"/>
        </w:trPr>
        <w:tc>
          <w:tcPr>
            <w:tcW w:w="740"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c>
          <w:tcPr>
            <w:tcW w:w="63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满意度指标</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服务对象满意度指标</w:t>
            </w:r>
          </w:p>
        </w:tc>
        <w:tc>
          <w:tcPr>
            <w:tcW w:w="13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受偿企业满意度</w:t>
            </w:r>
          </w:p>
        </w:tc>
        <w:tc>
          <w:tcPr>
            <w:tcW w:w="9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≥95%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98%</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5" w:hRule="atLeast"/>
        </w:trPr>
        <w:tc>
          <w:tcPr>
            <w:tcW w:w="5748"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总分</w:t>
            </w:r>
          </w:p>
        </w:tc>
        <w:tc>
          <w:tcPr>
            <w:tcW w:w="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eastAsia" w:ascii="宋体" w:hAnsi="宋体" w:eastAsia="宋体" w:cs="宋体"/>
                <w:i w:val="0"/>
                <w:color w:val="000000" w:themeColor="text1"/>
                <w:sz w:val="15"/>
                <w:szCs w:val="15"/>
                <w:u w:val="none"/>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100</w:t>
            </w:r>
          </w:p>
        </w:tc>
        <w:tc>
          <w:tcPr>
            <w:tcW w:w="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80" w:lineRule="exact"/>
              <w:ind w:left="0" w:leftChars="0" w:firstLine="0" w:firstLineChars="0"/>
              <w:jc w:val="center"/>
              <w:textAlignment w:val="center"/>
              <w:rPr>
                <w:rFonts w:hint="default" w:ascii="宋体" w:hAnsi="宋体" w:eastAsia="宋体" w:cs="宋体"/>
                <w:i w:val="0"/>
                <w:color w:val="000000" w:themeColor="text1"/>
                <w:sz w:val="15"/>
                <w:szCs w:val="15"/>
                <w:u w:val="none"/>
                <w:lang w:val="en-US"/>
                <w14:textFill>
                  <w14:solidFill>
                    <w14:schemeClr w14:val="tx1"/>
                  </w14:solidFill>
                </w14:textFill>
              </w:rPr>
            </w:pPr>
            <w:r>
              <w:rPr>
                <w:rFonts w:hint="eastAsia" w:ascii="宋体" w:hAnsi="宋体" w:eastAsia="宋体" w:cs="宋体"/>
                <w:i w:val="0"/>
                <w:color w:val="000000" w:themeColor="text1"/>
                <w:kern w:val="0"/>
                <w:sz w:val="15"/>
                <w:szCs w:val="15"/>
                <w:u w:val="none"/>
                <w:lang w:val="en-US" w:eastAsia="zh-CN" w:bidi="ar"/>
                <w14:textFill>
                  <w14:solidFill>
                    <w14:schemeClr w14:val="tx1"/>
                  </w14:solidFill>
                </w14:textFill>
              </w:rPr>
              <w:t>9</w:t>
            </w:r>
            <w:r>
              <w:rPr>
                <w:rFonts w:hint="eastAsia" w:cs="宋体"/>
                <w:i w:val="0"/>
                <w:color w:val="000000" w:themeColor="text1"/>
                <w:kern w:val="0"/>
                <w:sz w:val="15"/>
                <w:szCs w:val="15"/>
                <w:u w:val="none"/>
                <w:lang w:val="en-US" w:eastAsia="zh-CN" w:bidi="ar"/>
                <w14:textFill>
                  <w14:solidFill>
                    <w14:schemeClr w14:val="tx1"/>
                  </w14:solidFill>
                </w14:textFill>
              </w:rPr>
              <w:t>9</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180" w:lineRule="exact"/>
              <w:jc w:val="center"/>
              <w:rPr>
                <w:rFonts w:hint="eastAsia" w:ascii="宋体" w:hAnsi="宋体" w:eastAsia="宋体" w:cs="宋体"/>
                <w:i w:val="0"/>
                <w:color w:val="000000" w:themeColor="text1"/>
                <w:sz w:val="15"/>
                <w:szCs w:val="15"/>
                <w:u w:val="none"/>
                <w14:textFill>
                  <w14:solidFill>
                    <w14:schemeClr w14:val="tx1"/>
                  </w14:solidFill>
                </w14:textFill>
              </w:rPr>
            </w:pPr>
          </w:p>
        </w:tc>
      </w:tr>
    </w:tbl>
    <w:p>
      <w:pPr>
        <w:ind w:left="0" w:leftChars="0" w:firstLine="0" w:firstLineChars="0"/>
        <w:jc w:val="center"/>
        <w:rPr>
          <w:rFonts w:hint="eastAsia"/>
          <w:lang w:val="en-US" w:eastAsia="zh-CN"/>
        </w:rPr>
        <w:sectPr>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highlight w:val="none"/>
          <w:lang w:val="en-US" w:eastAsia="zh-CN" w:bidi="ar-SA"/>
        </w:rPr>
      </w:pPr>
      <w:r>
        <w:rPr>
          <w:rFonts w:hint="eastAsia" w:cs="宋体"/>
          <w:b/>
          <w:bCs/>
          <w:color w:val="000000"/>
          <w:kern w:val="2"/>
          <w:sz w:val="36"/>
          <w:szCs w:val="28"/>
          <w:highlight w:val="none"/>
          <w:lang w:val="en-US" w:eastAsia="zh-CN" w:bidi="ar-SA"/>
        </w:rPr>
        <w:t xml:space="preserve">附件二              </w:t>
      </w:r>
      <w:r>
        <w:rPr>
          <w:rFonts w:hint="eastAsia" w:ascii="宋体" w:hAnsi="宋体" w:eastAsia="宋体" w:cs="宋体"/>
          <w:b/>
          <w:bCs/>
          <w:color w:val="000000"/>
          <w:kern w:val="2"/>
          <w:sz w:val="36"/>
          <w:szCs w:val="28"/>
          <w:highlight w:val="none"/>
          <w:lang w:val="en-US" w:eastAsia="zh-CN" w:bidi="ar-SA"/>
        </w:rPr>
        <w:t>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9017C0F1"/>
    <w:multiLevelType w:val="singleLevel"/>
    <w:tmpl w:val="9017C0F1"/>
    <w:lvl w:ilvl="0" w:tentative="0">
      <w:start w:val="6"/>
      <w:numFmt w:val="chineseCounting"/>
      <w:suff w:val="nothing"/>
      <w:lvlText w:val="%1、"/>
      <w:lvlJc w:val="left"/>
      <w:rPr>
        <w:rFonts w:hint="eastAsia"/>
      </w:r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C565B0"/>
    <w:rsid w:val="01470C4C"/>
    <w:rsid w:val="02200440"/>
    <w:rsid w:val="02284B43"/>
    <w:rsid w:val="02B015E2"/>
    <w:rsid w:val="039C3BA0"/>
    <w:rsid w:val="03A845BB"/>
    <w:rsid w:val="03BE73F5"/>
    <w:rsid w:val="04D63993"/>
    <w:rsid w:val="053E33E3"/>
    <w:rsid w:val="05950E17"/>
    <w:rsid w:val="07890F4F"/>
    <w:rsid w:val="07A62462"/>
    <w:rsid w:val="08AE72F6"/>
    <w:rsid w:val="09781BD6"/>
    <w:rsid w:val="0A46527F"/>
    <w:rsid w:val="0AB44861"/>
    <w:rsid w:val="0AEC7B25"/>
    <w:rsid w:val="0D4452F3"/>
    <w:rsid w:val="0F5E5042"/>
    <w:rsid w:val="10190546"/>
    <w:rsid w:val="10510571"/>
    <w:rsid w:val="11B04EDA"/>
    <w:rsid w:val="11FA6155"/>
    <w:rsid w:val="126A28D1"/>
    <w:rsid w:val="12CF0947"/>
    <w:rsid w:val="12F1313F"/>
    <w:rsid w:val="136C678E"/>
    <w:rsid w:val="13EB2FF5"/>
    <w:rsid w:val="14666E8A"/>
    <w:rsid w:val="14814D0F"/>
    <w:rsid w:val="151E5205"/>
    <w:rsid w:val="165825BC"/>
    <w:rsid w:val="165D2466"/>
    <w:rsid w:val="176F36D7"/>
    <w:rsid w:val="177C115F"/>
    <w:rsid w:val="18456B1E"/>
    <w:rsid w:val="1C1171C5"/>
    <w:rsid w:val="1C64445D"/>
    <w:rsid w:val="1DA41A79"/>
    <w:rsid w:val="1DF53469"/>
    <w:rsid w:val="1E58492F"/>
    <w:rsid w:val="1E5B6757"/>
    <w:rsid w:val="1ED10AC6"/>
    <w:rsid w:val="1FC0575D"/>
    <w:rsid w:val="201F27BE"/>
    <w:rsid w:val="2041079C"/>
    <w:rsid w:val="21B00C1D"/>
    <w:rsid w:val="23031BEB"/>
    <w:rsid w:val="23517231"/>
    <w:rsid w:val="23917691"/>
    <w:rsid w:val="244D65B8"/>
    <w:rsid w:val="245E1E24"/>
    <w:rsid w:val="26122271"/>
    <w:rsid w:val="27661469"/>
    <w:rsid w:val="27900EAD"/>
    <w:rsid w:val="279B538A"/>
    <w:rsid w:val="27D63670"/>
    <w:rsid w:val="286F545C"/>
    <w:rsid w:val="29314FBC"/>
    <w:rsid w:val="2C927671"/>
    <w:rsid w:val="2D7C5CD6"/>
    <w:rsid w:val="2E483E7E"/>
    <w:rsid w:val="2F454B19"/>
    <w:rsid w:val="300132EB"/>
    <w:rsid w:val="314458E5"/>
    <w:rsid w:val="31E3230A"/>
    <w:rsid w:val="33356F64"/>
    <w:rsid w:val="33944516"/>
    <w:rsid w:val="34B62907"/>
    <w:rsid w:val="38782EDD"/>
    <w:rsid w:val="39B3740B"/>
    <w:rsid w:val="3A4107C8"/>
    <w:rsid w:val="3AA27206"/>
    <w:rsid w:val="3B42664A"/>
    <w:rsid w:val="3D836A4E"/>
    <w:rsid w:val="3FBE0BC5"/>
    <w:rsid w:val="3FEB1951"/>
    <w:rsid w:val="4048103A"/>
    <w:rsid w:val="435241E2"/>
    <w:rsid w:val="439E3FA7"/>
    <w:rsid w:val="44020C08"/>
    <w:rsid w:val="44B32266"/>
    <w:rsid w:val="44FC64F4"/>
    <w:rsid w:val="467F4585"/>
    <w:rsid w:val="470628CB"/>
    <w:rsid w:val="47555BD4"/>
    <w:rsid w:val="47DE763A"/>
    <w:rsid w:val="48E12B50"/>
    <w:rsid w:val="499441BE"/>
    <w:rsid w:val="4A2138F0"/>
    <w:rsid w:val="4A583887"/>
    <w:rsid w:val="4B9F6E02"/>
    <w:rsid w:val="4C3716D6"/>
    <w:rsid w:val="4CC43BFD"/>
    <w:rsid w:val="4E6E48A8"/>
    <w:rsid w:val="4EEC036B"/>
    <w:rsid w:val="501D2673"/>
    <w:rsid w:val="51852833"/>
    <w:rsid w:val="52C21C5A"/>
    <w:rsid w:val="53555F0F"/>
    <w:rsid w:val="55646C04"/>
    <w:rsid w:val="583C7AE0"/>
    <w:rsid w:val="59216F96"/>
    <w:rsid w:val="5B9D2CCD"/>
    <w:rsid w:val="620C23F1"/>
    <w:rsid w:val="625C2457"/>
    <w:rsid w:val="6265275A"/>
    <w:rsid w:val="647A41AE"/>
    <w:rsid w:val="67394C7D"/>
    <w:rsid w:val="68126B38"/>
    <w:rsid w:val="68291A1A"/>
    <w:rsid w:val="691B1594"/>
    <w:rsid w:val="69C04E5B"/>
    <w:rsid w:val="6A17429C"/>
    <w:rsid w:val="6A567EA3"/>
    <w:rsid w:val="6A6652AB"/>
    <w:rsid w:val="6B4B4368"/>
    <w:rsid w:val="6C295CAF"/>
    <w:rsid w:val="6C49483E"/>
    <w:rsid w:val="6E557973"/>
    <w:rsid w:val="6F0D6C22"/>
    <w:rsid w:val="6F47657F"/>
    <w:rsid w:val="700524F5"/>
    <w:rsid w:val="70670707"/>
    <w:rsid w:val="70F155F1"/>
    <w:rsid w:val="720E3691"/>
    <w:rsid w:val="72100BBC"/>
    <w:rsid w:val="732764B3"/>
    <w:rsid w:val="73480390"/>
    <w:rsid w:val="75E5007C"/>
    <w:rsid w:val="77861774"/>
    <w:rsid w:val="79300B45"/>
    <w:rsid w:val="794D3E18"/>
    <w:rsid w:val="79B96C9B"/>
    <w:rsid w:val="79F3729A"/>
    <w:rsid w:val="7ACB0498"/>
    <w:rsid w:val="7AED0B4D"/>
    <w:rsid w:val="7B0B2B96"/>
    <w:rsid w:val="7C1E4487"/>
    <w:rsid w:val="7C215E02"/>
    <w:rsid w:val="7CF23764"/>
    <w:rsid w:val="7DA13F47"/>
    <w:rsid w:val="7DA469A3"/>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font21"/>
    <w:basedOn w:val="11"/>
    <w:qFormat/>
    <w:uiPriority w:val="0"/>
    <w:rPr>
      <w:rFonts w:hint="default" w:ascii="Calibri" w:hAnsi="Calibri" w:cs="Calibri"/>
      <w:color w:val="000000"/>
      <w:sz w:val="20"/>
      <w:szCs w:val="20"/>
      <w:u w:val="none"/>
    </w:rPr>
  </w:style>
  <w:style w:type="character" w:customStyle="1" w:styleId="16">
    <w:name w:val="font11"/>
    <w:basedOn w:val="11"/>
    <w:qFormat/>
    <w:uiPriority w:val="0"/>
    <w:rPr>
      <w:rFonts w:hint="eastAsia" w:ascii="宋体" w:hAnsi="宋体" w:eastAsia="宋体" w:cs="宋体"/>
      <w:color w:val="000000"/>
      <w:sz w:val="20"/>
      <w:szCs w:val="20"/>
      <w:u w:val="none"/>
    </w:rPr>
  </w:style>
  <w:style w:type="character" w:customStyle="1" w:styleId="17">
    <w:name w:val="font71"/>
    <w:basedOn w:val="11"/>
    <w:qFormat/>
    <w:uiPriority w:val="0"/>
    <w:rPr>
      <w:rFonts w:hint="default" w:ascii="Times New Roman" w:hAnsi="Times New Roman" w:cs="Times New Roman"/>
      <w:color w:val="FF0000"/>
      <w:sz w:val="20"/>
      <w:szCs w:val="20"/>
      <w:u w:val="none"/>
    </w:rPr>
  </w:style>
  <w:style w:type="character" w:customStyle="1" w:styleId="18">
    <w:name w:val="font81"/>
    <w:basedOn w:val="11"/>
    <w:qFormat/>
    <w:uiPriority w:val="0"/>
    <w:rPr>
      <w:rFonts w:hint="eastAsia" w:ascii="宋体" w:hAnsi="宋体" w:eastAsia="宋体" w:cs="宋体"/>
      <w:color w:val="FF0000"/>
      <w:sz w:val="20"/>
      <w:szCs w:val="20"/>
      <w:u w:val="none"/>
    </w:rPr>
  </w:style>
  <w:style w:type="character" w:customStyle="1" w:styleId="19">
    <w:name w:val="font31"/>
    <w:basedOn w:val="11"/>
    <w:qFormat/>
    <w:uiPriority w:val="0"/>
    <w:rPr>
      <w:rFonts w:hint="eastAsia" w:ascii="宋体" w:hAnsi="宋体" w:eastAsia="宋体" w:cs="宋体"/>
      <w:color w:val="000000"/>
      <w:sz w:val="20"/>
      <w:szCs w:val="20"/>
      <w:u w:val="none"/>
    </w:rPr>
  </w:style>
  <w:style w:type="character" w:customStyle="1" w:styleId="20">
    <w:name w:val="font01"/>
    <w:basedOn w:val="11"/>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11972</Words>
  <Characters>12461</Characters>
  <Lines>0</Lines>
  <Paragraphs>0</Paragraphs>
  <TotalTime>0</TotalTime>
  <ScaleCrop>false</ScaleCrop>
  <LinksUpToDate>false</LinksUpToDate>
  <CharactersWithSpaces>12491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2023-11-20T03:21:41Z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